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B253" w14:textId="77777777" w:rsidR="006E6F40" w:rsidRDefault="003A646D" w:rsidP="00BC68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Propuestas específicas para la nueva ley forestal. </w:t>
      </w:r>
    </w:p>
    <w:p w14:paraId="563FF7F6" w14:textId="77777777" w:rsidR="003A646D" w:rsidRDefault="003A646D" w:rsidP="00013CC3">
      <w:pPr>
        <w:rPr>
          <w:rFonts w:ascii="Arial" w:hAnsi="Arial" w:cs="Arial"/>
          <w:sz w:val="22"/>
          <w:szCs w:val="22"/>
        </w:rPr>
      </w:pPr>
    </w:p>
    <w:p w14:paraId="6F188217" w14:textId="77777777" w:rsidR="003A646D" w:rsidRDefault="003A646D" w:rsidP="00013CC3">
      <w:pPr>
        <w:rPr>
          <w:rFonts w:ascii="Arial" w:hAnsi="Arial" w:cs="Arial"/>
          <w:sz w:val="22"/>
          <w:szCs w:val="22"/>
        </w:rPr>
      </w:pPr>
    </w:p>
    <w:p w14:paraId="1A439183" w14:textId="77777777" w:rsidR="003A646D" w:rsidRPr="00EF798F" w:rsidRDefault="003A646D" w:rsidP="00013CC3">
      <w:pPr>
        <w:rPr>
          <w:rFonts w:ascii="Arial" w:hAnsi="Arial" w:cs="Arial"/>
          <w:b/>
          <w:sz w:val="22"/>
          <w:szCs w:val="22"/>
        </w:rPr>
      </w:pPr>
    </w:p>
    <w:p w14:paraId="2D320A76" w14:textId="77777777" w:rsidR="006E6F40" w:rsidRPr="00031954" w:rsidRDefault="006E6F40" w:rsidP="00031954">
      <w:pPr>
        <w:pStyle w:val="Prrafodelista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</w:pPr>
      <w:r w:rsidRPr="00031954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Derechos</w:t>
      </w:r>
      <w:r w:rsidR="00EF798F" w:rsidRPr="00031954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 xml:space="preserve"> y participación</w:t>
      </w:r>
    </w:p>
    <w:p w14:paraId="73C8095C" w14:textId="77777777" w:rsidR="00031954" w:rsidRDefault="00031954" w:rsidP="0003195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</w:pPr>
    </w:p>
    <w:p w14:paraId="5C1C0CF9" w14:textId="77777777" w:rsidR="00031954" w:rsidRDefault="00031954" w:rsidP="0003195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</w:pPr>
      <w:r w:rsidRPr="00031954">
        <w:rPr>
          <w:rFonts w:ascii="Arial" w:hAnsi="Arial" w:cs="Arial"/>
          <w:b/>
          <w:color w:val="000000" w:themeColor="text1"/>
          <w:sz w:val="22"/>
          <w:szCs w:val="22"/>
          <w:lang w:val="es-ES" w:eastAsia="en-US"/>
        </w:rPr>
        <w:t xml:space="preserve">                         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  <w:t>TEMA</w:t>
      </w:r>
      <w:r w:rsidRPr="00031954">
        <w:rPr>
          <w:rFonts w:ascii="Arial" w:hAnsi="Arial" w:cs="Arial"/>
          <w:b/>
          <w:color w:val="000000" w:themeColor="text1"/>
          <w:sz w:val="22"/>
          <w:szCs w:val="22"/>
          <w:lang w:val="es-ES" w:eastAsia="en-US"/>
        </w:rPr>
        <w:t xml:space="preserve">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  <w:t xml:space="preserve">                 PROPUES</w:t>
      </w:r>
      <w:r w:rsidRPr="00031954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  <w:t xml:space="preserve">TA             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  <w:t xml:space="preserve">                                        </w:t>
      </w:r>
    </w:p>
    <w:p w14:paraId="3B2AA4B8" w14:textId="77777777" w:rsidR="00031954" w:rsidRDefault="00031954" w:rsidP="0003195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</w:pPr>
    </w:p>
    <w:p w14:paraId="6DFDEEC6" w14:textId="77777777" w:rsidR="00031954" w:rsidRPr="00031954" w:rsidRDefault="00031954" w:rsidP="0003195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70"/>
        <w:gridCol w:w="4106"/>
      </w:tblGrid>
      <w:tr w:rsidR="00031954" w:rsidRPr="00031954" w14:paraId="14CC7CF2" w14:textId="77777777" w:rsidTr="00031954">
        <w:tc>
          <w:tcPr>
            <w:tcW w:w="5470" w:type="dxa"/>
          </w:tcPr>
          <w:p w14:paraId="41BE0A28" w14:textId="77777777" w:rsidR="00031954" w:rsidRPr="00031954" w:rsidRDefault="00031954" w:rsidP="0003195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Protección de derechos</w:t>
            </w:r>
            <w:r w:rsidR="00BC6821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7F2AC0">
              <w:rPr>
                <w:rFonts w:ascii="Arial" w:hAnsi="Arial" w:cs="Arial"/>
                <w:color w:val="000000" w:themeColor="text1"/>
                <w:lang w:val="es-ES"/>
              </w:rPr>
              <w:t>COL</w:t>
            </w:r>
            <w:bookmarkStart w:id="0" w:name="_GoBack"/>
            <w:bookmarkEnd w:id="0"/>
            <w:r w:rsidR="007F2AC0">
              <w:rPr>
                <w:rFonts w:ascii="Arial" w:hAnsi="Arial" w:cs="Arial"/>
                <w:color w:val="000000" w:themeColor="text1"/>
                <w:lang w:val="es-ES"/>
              </w:rPr>
              <w:t>ECTIVOS</w:t>
            </w:r>
          </w:p>
        </w:tc>
        <w:tc>
          <w:tcPr>
            <w:tcW w:w="4106" w:type="dxa"/>
          </w:tcPr>
          <w:p w14:paraId="32986D7C" w14:textId="77777777" w:rsidR="007F2AC0" w:rsidRPr="00072EC2" w:rsidRDefault="007F2AC0" w:rsidP="007F2AC0">
            <w:pPr>
              <w:jc w:val="both"/>
              <w:rPr>
                <w:rFonts w:cs="Calibri"/>
              </w:rPr>
            </w:pPr>
            <w:r w:rsidRPr="00072EC2">
              <w:rPr>
                <w:rFonts w:cs="Calibri"/>
              </w:rPr>
              <w:t xml:space="preserve">La LGDFS vigente, aterriza </w:t>
            </w:r>
            <w:r>
              <w:rPr>
                <w:rFonts w:cs="Calibri"/>
              </w:rPr>
              <w:t xml:space="preserve">los derechos colectivos de los pueblos indígenas </w:t>
            </w:r>
            <w:r w:rsidRPr="00072EC2">
              <w:rPr>
                <w:rFonts w:cs="Calibri"/>
              </w:rPr>
              <w:t>al tema forestal, por eso reconoce expresamente dentro de sus objetivos generales:</w:t>
            </w:r>
          </w:p>
          <w:p w14:paraId="1CACF66E" w14:textId="77777777" w:rsidR="007F2AC0" w:rsidRPr="00072EC2" w:rsidRDefault="007F2AC0" w:rsidP="007F2AC0">
            <w:pPr>
              <w:jc w:val="both"/>
              <w:rPr>
                <w:rFonts w:cs="Calibri"/>
                <w:i/>
              </w:rPr>
            </w:pPr>
            <w:r w:rsidRPr="00072EC2">
              <w:rPr>
                <w:rFonts w:cs="Calibri"/>
                <w:i/>
              </w:rPr>
              <w:t xml:space="preserve">Artículo 2° … </w:t>
            </w:r>
          </w:p>
          <w:p w14:paraId="32769F45" w14:textId="77777777" w:rsidR="007F2AC0" w:rsidRDefault="007F2AC0" w:rsidP="007F2AC0">
            <w:pPr>
              <w:jc w:val="both"/>
              <w:rPr>
                <w:rFonts w:cs="Calibri"/>
                <w:i/>
              </w:rPr>
            </w:pPr>
            <w:r w:rsidRPr="00072EC2">
              <w:rPr>
                <w:rFonts w:cs="Calibri"/>
                <w:i/>
              </w:rPr>
              <w:t>V. Respetar el derecho al uso y disfrute preferente de los recursos forestales de los lugares que ocupan y habitan las comunidades indígenas</w:t>
            </w:r>
            <w:r>
              <w:rPr>
                <w:rFonts w:cs="Calibri"/>
                <w:i/>
              </w:rPr>
              <w:t>…</w:t>
            </w:r>
          </w:p>
          <w:p w14:paraId="0BC8F495" w14:textId="77777777" w:rsidR="007F2AC0" w:rsidRDefault="007F2AC0" w:rsidP="007F2AC0">
            <w:pPr>
              <w:ind w:left="1080"/>
              <w:jc w:val="both"/>
              <w:rPr>
                <w:rFonts w:cs="Calibri"/>
                <w:i/>
              </w:rPr>
            </w:pPr>
          </w:p>
          <w:p w14:paraId="375BBBCA" w14:textId="77777777" w:rsidR="007F2AC0" w:rsidRDefault="007F2AC0" w:rsidP="007F2AC0">
            <w:pPr>
              <w:jc w:val="both"/>
              <w:rPr>
                <w:rFonts w:cs="Calibri"/>
                <w:lang w:val="es-ES"/>
              </w:rPr>
            </w:pPr>
            <w:r w:rsidRPr="00072EC2">
              <w:rPr>
                <w:rFonts w:cs="Calibri"/>
              </w:rPr>
              <w:t>Este es el sustento legal general de los derechos cole</w:t>
            </w:r>
            <w:r>
              <w:rPr>
                <w:rFonts w:cs="Calibri"/>
              </w:rPr>
              <w:t>ct</w:t>
            </w:r>
            <w:r w:rsidR="00994A85">
              <w:rPr>
                <w:rFonts w:cs="Calibri"/>
              </w:rPr>
              <w:t xml:space="preserve">ivos de los pueblos indígenas </w:t>
            </w:r>
            <w:r w:rsidRPr="00072EC2">
              <w:rPr>
                <w:rFonts w:cs="Calibri"/>
              </w:rPr>
              <w:t>que obedecen a una lógica distinta a los derechos tradicionales como el de la propiedad privada.</w:t>
            </w:r>
            <w:r w:rsidR="00994A85">
              <w:rPr>
                <w:rFonts w:cs="Calibri"/>
              </w:rPr>
              <w:t xml:space="preserve"> </w:t>
            </w:r>
            <w:r w:rsidRPr="00072EC2">
              <w:rPr>
                <w:rFonts w:cs="Calibri"/>
                <w:lang w:val="es-ES"/>
              </w:rPr>
              <w:t xml:space="preserve">Sí esos derechos no están expresamente reconocidos en el objeto de la </w:t>
            </w:r>
            <w:r w:rsidR="00994A85">
              <w:rPr>
                <w:rFonts w:cs="Calibri"/>
                <w:lang w:val="es-ES"/>
              </w:rPr>
              <w:t>Ley</w:t>
            </w:r>
            <w:r w:rsidRPr="00072EC2">
              <w:rPr>
                <w:rFonts w:cs="Calibri"/>
                <w:lang w:val="es-ES"/>
              </w:rPr>
              <w:t>, la autoridad no tendrá mandato legal  para diseñar e implementar planes, políticas, programas reglas de operación orientados al uso preferente de los recursos forestales.</w:t>
            </w:r>
          </w:p>
          <w:p w14:paraId="55400F0C" w14:textId="77777777" w:rsidR="00994A85" w:rsidRDefault="00994A85" w:rsidP="007F2AC0">
            <w:pPr>
              <w:jc w:val="both"/>
              <w:rPr>
                <w:rFonts w:cs="Calibri"/>
                <w:lang w:val="es-ES"/>
              </w:rPr>
            </w:pPr>
          </w:p>
          <w:p w14:paraId="158E10F6" w14:textId="77777777" w:rsidR="00994A85" w:rsidRPr="00072EC2" w:rsidRDefault="00994A85" w:rsidP="00994A85">
            <w:pPr>
              <w:pStyle w:val="Sinespaciado1"/>
              <w:rPr>
                <w:rFonts w:cs="Calibri"/>
                <w:lang w:val="es-ES"/>
              </w:rPr>
            </w:pPr>
            <w:r>
              <w:rPr>
                <w:lang w:val="es-ES"/>
              </w:rPr>
              <w:t>La LGDFS debe</w:t>
            </w:r>
            <w:r w:rsidRPr="00072EC2">
              <w:rPr>
                <w:lang w:val="es-ES"/>
              </w:rPr>
              <w:t xml:space="preserve"> establecer la perspectiva de género des</w:t>
            </w:r>
            <w:r>
              <w:rPr>
                <w:lang w:val="es-ES"/>
              </w:rPr>
              <w:t>de los objetivos generales</w:t>
            </w:r>
            <w:r w:rsidRPr="00072EC2">
              <w:rPr>
                <w:lang w:val="es-ES"/>
              </w:rPr>
              <w:t>, de manera que permeé a lo largo toda la Ley, sus instrumentos  y la política que</w:t>
            </w:r>
            <w:r>
              <w:rPr>
                <w:lang w:val="es-ES"/>
              </w:rPr>
              <w:t xml:space="preserve"> se deriva</w:t>
            </w:r>
            <w:r w:rsidRPr="00072EC2">
              <w:rPr>
                <w:lang w:val="es-ES"/>
              </w:rPr>
              <w:t>.</w:t>
            </w:r>
          </w:p>
          <w:p w14:paraId="062D596E" w14:textId="77777777" w:rsidR="00031954" w:rsidRPr="00031954" w:rsidRDefault="00031954" w:rsidP="00031954">
            <w:pPr>
              <w:ind w:left="360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2423FD83" w14:textId="77777777" w:rsidTr="00031954">
        <w:tc>
          <w:tcPr>
            <w:tcW w:w="5470" w:type="dxa"/>
          </w:tcPr>
          <w:p w14:paraId="03E21B4C" w14:textId="77777777" w:rsidR="00031954" w:rsidRPr="00031954" w:rsidRDefault="00031954" w:rsidP="00C42E0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Sistema de Salvaguardas</w:t>
            </w:r>
          </w:p>
        </w:tc>
        <w:tc>
          <w:tcPr>
            <w:tcW w:w="4106" w:type="dxa"/>
          </w:tcPr>
          <w:p w14:paraId="143DDBBF" w14:textId="77777777" w:rsidR="00031954" w:rsidRPr="00031954" w:rsidRDefault="00031954" w:rsidP="00031954">
            <w:pPr>
              <w:ind w:left="360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597BE7BC" w14:textId="77777777" w:rsidTr="00031954">
        <w:tc>
          <w:tcPr>
            <w:tcW w:w="5470" w:type="dxa"/>
          </w:tcPr>
          <w:p w14:paraId="13C15D3D" w14:textId="77777777" w:rsidR="00031954" w:rsidRPr="00031954" w:rsidRDefault="00031954" w:rsidP="00C42E0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Participación social y facultades del CONAF</w:t>
            </w:r>
          </w:p>
        </w:tc>
        <w:tc>
          <w:tcPr>
            <w:tcW w:w="4106" w:type="dxa"/>
          </w:tcPr>
          <w:p w14:paraId="7C22AE0B" w14:textId="77777777" w:rsidR="00031954" w:rsidRPr="00031954" w:rsidRDefault="00031954" w:rsidP="00031954">
            <w:pPr>
              <w:ind w:left="360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25D809B7" w14:textId="77777777" w:rsidTr="00031954">
        <w:tc>
          <w:tcPr>
            <w:tcW w:w="5470" w:type="dxa"/>
          </w:tcPr>
          <w:p w14:paraId="01760E5D" w14:textId="77777777" w:rsidR="00031954" w:rsidRPr="00031954" w:rsidRDefault="00031954" w:rsidP="00C42E0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Funciones del Comité Mixto del Fondo Forestal y otras instancias manejo de fondos y subsidios</w:t>
            </w:r>
          </w:p>
        </w:tc>
        <w:tc>
          <w:tcPr>
            <w:tcW w:w="4106" w:type="dxa"/>
          </w:tcPr>
          <w:p w14:paraId="2911AAF4" w14:textId="77777777" w:rsidR="00031954" w:rsidRPr="00031954" w:rsidRDefault="00031954" w:rsidP="00031954">
            <w:pPr>
              <w:ind w:left="360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086E5240" w14:textId="77777777" w:rsidTr="00031954">
        <w:tc>
          <w:tcPr>
            <w:tcW w:w="5470" w:type="dxa"/>
          </w:tcPr>
          <w:p w14:paraId="6BF983DD" w14:textId="77777777" w:rsidR="00031954" w:rsidRPr="00031954" w:rsidRDefault="00031954" w:rsidP="00C42E0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Acción afirmativa para el Manejo Forestal Comunitario.</w:t>
            </w:r>
          </w:p>
        </w:tc>
        <w:tc>
          <w:tcPr>
            <w:tcW w:w="4106" w:type="dxa"/>
          </w:tcPr>
          <w:p w14:paraId="5E449754" w14:textId="77777777" w:rsidR="00031954" w:rsidRPr="00031954" w:rsidRDefault="00031954" w:rsidP="00031954">
            <w:pPr>
              <w:ind w:left="360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0B5627D6" w14:textId="77777777" w:rsidR="006E6F40" w:rsidRDefault="006E6F40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342F445" w14:textId="77777777" w:rsidR="007D4FB7" w:rsidRDefault="007D4FB7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AA19F08" w14:textId="77777777" w:rsidR="007D4FB7" w:rsidRDefault="007D4FB7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55ED6F0" w14:textId="77777777" w:rsidR="007D4FB7" w:rsidRDefault="007D4FB7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268AEA6" w14:textId="77777777" w:rsidR="007D4FB7" w:rsidRDefault="007D4FB7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500DAA5" w14:textId="77777777" w:rsidR="007D4FB7" w:rsidRPr="00E4193A" w:rsidRDefault="007D4FB7" w:rsidP="00013CC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CD0923C" w14:textId="77777777" w:rsidR="006E6F40" w:rsidRDefault="006E6F40" w:rsidP="00013CC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lastRenderedPageBreak/>
        <w:t>2.- P</w:t>
      </w:r>
      <w:r w:rsidR="000714C2" w:rsidRPr="00E4193A">
        <w:rPr>
          <w:rFonts w:ascii="Arial" w:hAnsi="Arial" w:cs="Arial"/>
          <w:b/>
          <w:color w:val="000000" w:themeColor="text1"/>
          <w:sz w:val="22"/>
          <w:szCs w:val="22"/>
          <w:u w:val="single"/>
          <w:lang w:val="es-ES"/>
        </w:rPr>
        <w:t>rioridades, objetivos y criterios de política</w:t>
      </w:r>
      <w:r w:rsidRPr="00E4193A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: </w:t>
      </w:r>
    </w:p>
    <w:p w14:paraId="3886CB4C" w14:textId="77777777" w:rsidR="00031954" w:rsidRDefault="00031954" w:rsidP="00013CC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26320672" w14:textId="77777777" w:rsidR="00031954" w:rsidRPr="00E4193A" w:rsidRDefault="00031954" w:rsidP="00013CC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360"/>
      </w:tblGrid>
      <w:tr w:rsidR="00031954" w:rsidRPr="00031954" w14:paraId="6E4B2575" w14:textId="77777777" w:rsidTr="007D4FB7">
        <w:tc>
          <w:tcPr>
            <w:tcW w:w="3216" w:type="dxa"/>
          </w:tcPr>
          <w:p w14:paraId="682DFC35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7317151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ED51820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00B6C73" w14:textId="77777777" w:rsidR="00031954" w:rsidRPr="007D4FB7" w:rsidRDefault="00031954" w:rsidP="007D4FB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4FB7">
              <w:rPr>
                <w:rFonts w:ascii="Arial" w:hAnsi="Arial" w:cs="Arial"/>
                <w:color w:val="000000" w:themeColor="text1"/>
              </w:rPr>
              <w:t>Declaratoria de objetos de interés público para efectos de fomento (base y prelación)</w:t>
            </w:r>
            <w:r w:rsidR="007D4FB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360" w:type="dxa"/>
          </w:tcPr>
          <w:p w14:paraId="314C560A" w14:textId="77777777" w:rsidR="00031954" w:rsidRPr="005F30F8" w:rsidRDefault="00C6153E" w:rsidP="00C6153E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 xml:space="preserve">Los primeros artículos de la Ley deben establecer un orden de prioridades en los objetivos de la Ley que permita orientar la </w:t>
            </w:r>
            <w:r w:rsidR="005F30F8" w:rsidRPr="005F30F8">
              <w:rPr>
                <w:rFonts w:ascii="Arial" w:hAnsi="Arial" w:cs="Arial"/>
                <w:color w:val="000000" w:themeColor="text1"/>
                <w:lang w:val="es-ES"/>
              </w:rPr>
              <w:t xml:space="preserve">política y </w:t>
            </w: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>asignación de recursos.</w:t>
            </w:r>
          </w:p>
          <w:p w14:paraId="588D8470" w14:textId="77777777" w:rsidR="005F30F8" w:rsidRDefault="00856398" w:rsidP="005F30F8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 xml:space="preserve">Se propone contar con un artículo con declaratoria de los temas de </w:t>
            </w:r>
            <w:r w:rsidRPr="004B4044">
              <w:rPr>
                <w:rFonts w:ascii="Arial" w:hAnsi="Arial" w:cs="Arial"/>
                <w:color w:val="000000" w:themeColor="text1"/>
                <w:u w:val="single"/>
                <w:lang w:val="es-ES"/>
              </w:rPr>
              <w:t>interés público</w:t>
            </w: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4B4044">
              <w:rPr>
                <w:rFonts w:ascii="Arial" w:hAnsi="Arial" w:cs="Arial"/>
                <w:color w:val="000000" w:themeColor="text1"/>
                <w:lang w:val="es-ES"/>
              </w:rPr>
              <w:t>ordenados jerárquicamente (</w:t>
            </w: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>donde se incluya el MFC en los primeros lugares</w:t>
            </w:r>
            <w:r w:rsidR="004B4044">
              <w:rPr>
                <w:rFonts w:ascii="Arial" w:hAnsi="Arial" w:cs="Arial"/>
                <w:color w:val="000000" w:themeColor="text1"/>
                <w:lang w:val="es-ES"/>
              </w:rPr>
              <w:t>)</w:t>
            </w:r>
            <w:r w:rsidR="005F30F8" w:rsidRPr="005F30F8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  <w:p w14:paraId="481EAF7A" w14:textId="77777777" w:rsidR="004B4044" w:rsidRDefault="004B4044" w:rsidP="005F30F8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5C3EBFA6" w14:textId="77777777" w:rsidR="004B4044" w:rsidRPr="005F30F8" w:rsidRDefault="004B4044" w:rsidP="005F30F8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Es decir, agregar un artículo 4°Bis, que señale expresamente los temas que </w:t>
            </w:r>
            <w:r w:rsidRPr="005F30F8">
              <w:rPr>
                <w:rFonts w:ascii="Arial" w:hAnsi="Arial" w:cs="Arial"/>
                <w:color w:val="000000" w:themeColor="text1"/>
                <w:lang w:val="es-ES"/>
              </w:rPr>
              <w:t>justifica políticas de fomento y regulación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; a diferencia de los temas de </w:t>
            </w:r>
            <w:r w:rsidRPr="004B4044">
              <w:rPr>
                <w:rFonts w:ascii="Arial" w:hAnsi="Arial" w:cs="Arial"/>
                <w:color w:val="000000" w:themeColor="text1"/>
                <w:u w:val="single"/>
                <w:lang w:val="es-ES"/>
              </w:rPr>
              <w:t>utilidad pública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, aquellos que justifican la expropiación o el establecimiento de modalidades a la propiedad privada. </w:t>
            </w:r>
          </w:p>
        </w:tc>
      </w:tr>
      <w:tr w:rsidR="00031954" w:rsidRPr="00031954" w14:paraId="67CA39CF" w14:textId="77777777" w:rsidTr="007D4FB7">
        <w:tc>
          <w:tcPr>
            <w:tcW w:w="3216" w:type="dxa"/>
          </w:tcPr>
          <w:p w14:paraId="53E8F7C2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2B75A9DD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5C025BB3" w14:textId="77777777" w:rsidR="00031954" w:rsidRPr="007D4FB7" w:rsidRDefault="00031954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7D4FB7">
              <w:rPr>
                <w:rFonts w:ascii="Arial" w:hAnsi="Arial" w:cs="Arial"/>
                <w:color w:val="000000" w:themeColor="text1"/>
                <w:lang w:val="es-ES"/>
              </w:rPr>
              <w:t>Desarrollo sustentable con enfoque territorial y ecosistémico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6360" w:type="dxa"/>
          </w:tcPr>
          <w:p w14:paraId="6184C8C1" w14:textId="77777777" w:rsidR="00994A85" w:rsidRDefault="00994A85" w:rsidP="004B4044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4B4044">
              <w:rPr>
                <w:rFonts w:ascii="Arial" w:hAnsi="Arial" w:cs="Arial"/>
                <w:color w:val="000000" w:themeColor="text1"/>
                <w:lang w:val="es-ES"/>
              </w:rPr>
              <w:t>La LGDFS debe promover un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enfoque territorial </w:t>
            </w:r>
            <w:r w:rsidR="00D64E80" w:rsidRPr="004B4044">
              <w:rPr>
                <w:rFonts w:ascii="Arial" w:hAnsi="Arial" w:cs="Arial"/>
                <w:color w:val="000000" w:themeColor="text1"/>
                <w:lang w:val="es-ES"/>
              </w:rPr>
              <w:t>a partir de los ecosistemas existentes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, que considere la interacción de las actividades forestales 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>en convergencia con otros usos del suelo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, así como 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una efectiva 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coordinación interinstitucional 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>para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fortalecer la gestión integr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>al del terr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>i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>tori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>o a través de la creación de catálogos de activos públicos</w:t>
            </w:r>
            <w:r w:rsidRPr="004B404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  <w:p w14:paraId="3E166F14" w14:textId="77777777" w:rsidR="004B4044" w:rsidRPr="004B4044" w:rsidRDefault="004B4044" w:rsidP="004B4044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7DB0195E" w14:textId="77777777" w:rsidR="00994A85" w:rsidRPr="004B4044" w:rsidRDefault="004B4044" w:rsidP="004B4044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En consistencia, </w:t>
            </w:r>
            <w:r w:rsidR="00994A85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la Ley debe promover el manejo forestal 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>y fomenta</w:t>
            </w:r>
            <w:r w:rsidR="007F2AC0" w:rsidRPr="004B4044">
              <w:rPr>
                <w:rFonts w:ascii="Arial" w:hAnsi="Arial" w:cs="Arial"/>
                <w:color w:val="000000" w:themeColor="text1"/>
                <w:lang w:val="es-ES"/>
              </w:rPr>
              <w:t>r</w:t>
            </w:r>
            <w:r w:rsidR="00856398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las actividades</w:t>
            </w:r>
            <w:r w:rsidR="00994A85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para el desarrollo sustentable con base en los ecosistemas</w:t>
            </w:r>
            <w:r w:rsidR="00D64E80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existentes y sus características.</w:t>
            </w:r>
          </w:p>
        </w:tc>
      </w:tr>
      <w:tr w:rsidR="00031954" w:rsidRPr="00031954" w14:paraId="1A3141D9" w14:textId="77777777" w:rsidTr="007D4FB7">
        <w:tc>
          <w:tcPr>
            <w:tcW w:w="3216" w:type="dxa"/>
          </w:tcPr>
          <w:p w14:paraId="5418B468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CDDD6F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B4DB7E" w14:textId="77777777" w:rsidR="00031954" w:rsidRPr="007D4FB7" w:rsidRDefault="00031954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7D4FB7">
              <w:rPr>
                <w:rFonts w:ascii="Arial" w:hAnsi="Arial" w:cs="Arial"/>
                <w:color w:val="000000" w:themeColor="text1"/>
                <w:lang w:val="es-ES"/>
              </w:rPr>
              <w:t>Fomento de redes locales de valor para generación de oportunidades a la población</w:t>
            </w:r>
            <w:r w:rsidR="00234AAA" w:rsidRPr="007D4FB7">
              <w:rPr>
                <w:rFonts w:ascii="Arial" w:hAnsi="Arial" w:cs="Arial"/>
                <w:color w:val="000000" w:themeColor="text1"/>
                <w:lang w:val="es-ES"/>
              </w:rPr>
              <w:t xml:space="preserve"> (incluyendo aquella</w:t>
            </w:r>
            <w:r w:rsidRPr="007D4FB7">
              <w:rPr>
                <w:rFonts w:ascii="Arial" w:hAnsi="Arial" w:cs="Arial"/>
                <w:color w:val="000000" w:themeColor="text1"/>
                <w:lang w:val="es-ES"/>
              </w:rPr>
              <w:t xml:space="preserve"> sin derechos sobre la tierra</w:t>
            </w:r>
            <w:r w:rsidR="00234AAA" w:rsidRPr="007D4FB7">
              <w:rPr>
                <w:rFonts w:ascii="Arial" w:hAnsi="Arial" w:cs="Arial"/>
                <w:color w:val="000000" w:themeColor="text1"/>
                <w:lang w:val="es-ES"/>
              </w:rPr>
              <w:t>).</w:t>
            </w:r>
          </w:p>
        </w:tc>
        <w:tc>
          <w:tcPr>
            <w:tcW w:w="6360" w:type="dxa"/>
          </w:tcPr>
          <w:p w14:paraId="3B554764" w14:textId="77777777" w:rsidR="00F92693" w:rsidRPr="00F92693" w:rsidRDefault="00F92693" w:rsidP="00F9269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F92693">
              <w:rPr>
                <w:rFonts w:ascii="Arial" w:hAnsi="Arial" w:cs="Arial"/>
                <w:color w:val="000000" w:themeColor="text1"/>
                <w:lang w:val="es-ES"/>
              </w:rPr>
              <w:t xml:space="preserve">Se debe desarrollar políticas que promuevan e impulsen  </w:t>
            </w:r>
            <w:r w:rsidR="004B4044">
              <w:rPr>
                <w:rFonts w:ascii="Arial" w:hAnsi="Arial" w:cs="Arial"/>
                <w:color w:val="000000" w:themeColor="text1"/>
                <w:lang w:val="es-ES"/>
              </w:rPr>
              <w:t>el</w:t>
            </w:r>
            <w:r w:rsidR="004B4044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  manejo  forestal  comunitario,  las  redes locales  de  valor,  el  mejoramiento  de  la  competitividad  de los   territorios   y   las   empresas   sociales   foresta</w:t>
            </w:r>
            <w:r w:rsidRPr="00F92693">
              <w:rPr>
                <w:rFonts w:ascii="Arial" w:hAnsi="Arial" w:cs="Arial"/>
                <w:color w:val="000000" w:themeColor="text1"/>
                <w:lang w:val="es-ES"/>
              </w:rPr>
              <w:t xml:space="preserve">les, así como </w:t>
            </w:r>
            <w:r w:rsidR="004B4044" w:rsidRPr="004B4044">
              <w:rPr>
                <w:rFonts w:ascii="Arial" w:hAnsi="Arial" w:cs="Arial"/>
                <w:color w:val="000000" w:themeColor="text1"/>
                <w:lang w:val="es-ES"/>
              </w:rPr>
              <w:t xml:space="preserve">la creación local de </w:t>
            </w:r>
            <w:r w:rsidR="004B4044" w:rsidRPr="00F92693">
              <w:rPr>
                <w:rFonts w:ascii="Arial" w:hAnsi="Arial" w:cs="Arial"/>
                <w:color w:val="000000" w:themeColor="text1"/>
                <w:lang w:val="es-ES"/>
              </w:rPr>
              <w:t>e</w:t>
            </w:r>
            <w:r w:rsidRPr="00F92693">
              <w:rPr>
                <w:rFonts w:ascii="Arial" w:hAnsi="Arial" w:cs="Arial"/>
                <w:color w:val="000000" w:themeColor="text1"/>
                <w:lang w:val="es-ES"/>
              </w:rPr>
              <w:t>mpleo, por ser temas de interés público. Dichas políticas deben considerar especialmente la población sin derechos sobre la tierra, pero directamente involucrada en el manejo del bosque (mujeres, jóvenes, etc</w:t>
            </w:r>
            <w:r w:rsidR="00FA6BEE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  <w:r w:rsidRPr="00F92693">
              <w:rPr>
                <w:rFonts w:ascii="Arial" w:hAnsi="Arial" w:cs="Arial"/>
                <w:color w:val="000000" w:themeColor="text1"/>
                <w:lang w:val="es-ES"/>
              </w:rPr>
              <w:t>).</w:t>
            </w:r>
          </w:p>
          <w:p w14:paraId="51A0A044" w14:textId="77777777" w:rsidR="004B4044" w:rsidRPr="00F92693" w:rsidRDefault="004B4044" w:rsidP="00F9269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76DB9AEF" w14:textId="77777777" w:rsidTr="007D4FB7">
        <w:tc>
          <w:tcPr>
            <w:tcW w:w="3216" w:type="dxa"/>
          </w:tcPr>
          <w:p w14:paraId="6EB7DFF2" w14:textId="77777777" w:rsidR="007D4FB7" w:rsidRPr="007D4FB7" w:rsidRDefault="00031954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7D4FB7">
              <w:rPr>
                <w:rFonts w:ascii="Arial" w:hAnsi="Arial" w:cs="Arial"/>
                <w:color w:val="000000" w:themeColor="text1"/>
                <w:lang w:val="es-ES"/>
              </w:rPr>
              <w:t>Acceso a crédito, servicios accesorios a la infraestructura, arbitraje, información de mercado, manejo de riesgo</w:t>
            </w:r>
            <w:r w:rsidR="007D4FB7" w:rsidRPr="007D4FB7">
              <w:rPr>
                <w:rFonts w:ascii="Arial" w:hAnsi="Arial" w:cs="Arial"/>
                <w:color w:val="000000" w:themeColor="text1"/>
                <w:lang w:val="es-ES"/>
              </w:rPr>
              <w:t>, etc.</w:t>
            </w:r>
          </w:p>
          <w:p w14:paraId="1F173702" w14:textId="77777777" w:rsidR="00031954" w:rsidRPr="00031954" w:rsidRDefault="00031954" w:rsidP="007D4FB7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360" w:type="dxa"/>
          </w:tcPr>
          <w:p w14:paraId="58A61760" w14:textId="77777777" w:rsidR="00F92693" w:rsidRPr="00FA6BEE" w:rsidRDefault="00FA6BEE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La Ley debe promover el establecimiento de </w:t>
            </w:r>
            <w:r w:rsidR="00F92693" w:rsidRPr="00F92693">
              <w:rPr>
                <w:rFonts w:ascii="Arial" w:hAnsi="Arial" w:cs="Arial"/>
                <w:color w:val="000000" w:themeColor="text1"/>
                <w:lang w:val="es-ES"/>
              </w:rPr>
              <w:t>estímulos  fiscales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e instrumentos  crediticios 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>(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como </w:t>
            </w:r>
            <w:r w:rsidR="00F92693" w:rsidRPr="00F92693">
              <w:rPr>
                <w:rFonts w:ascii="Arial" w:hAnsi="Arial" w:cs="Arial"/>
                <w:color w:val="000000" w:themeColor="text1"/>
                <w:lang w:val="es-ES"/>
              </w:rPr>
              <w:t xml:space="preserve">tasas   de   interés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F92693" w:rsidRPr="00F92693">
              <w:rPr>
                <w:rFonts w:ascii="Arial" w:hAnsi="Arial" w:cs="Arial"/>
                <w:color w:val="000000" w:themeColor="text1"/>
                <w:lang w:val="es-ES"/>
              </w:rPr>
              <w:t>preferencial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 xml:space="preserve">); </w:t>
            </w:r>
            <w:r w:rsidR="00F92693" w:rsidRPr="00F92693">
              <w:rPr>
                <w:rFonts w:ascii="Arial" w:hAnsi="Arial" w:cs="Arial"/>
                <w:color w:val="000000" w:themeColor="text1"/>
                <w:lang w:val="es-ES"/>
              </w:rPr>
              <w:t>mecanismos  de  apoyo  para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F92693" w:rsidRPr="00F92693">
              <w:rPr>
                <w:rFonts w:ascii="Arial" w:hAnsi="Arial" w:cs="Arial"/>
                <w:color w:val="000000" w:themeColor="text1"/>
                <w:lang w:val="es-ES"/>
              </w:rPr>
              <w:t>impulsar   el   desarro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 xml:space="preserve">llo   forestal   sustentable; y </w:t>
            </w:r>
            <w:r w:rsidR="007D4FB7" w:rsidRPr="00031954">
              <w:rPr>
                <w:rFonts w:ascii="Arial" w:hAnsi="Arial" w:cs="Arial"/>
                <w:color w:val="000000" w:themeColor="text1"/>
                <w:lang w:val="es-ES"/>
              </w:rPr>
              <w:t>otros instrumentos específicos de desarrollo</w:t>
            </w:r>
            <w:r w:rsidR="007D4FB7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031954" w:rsidRPr="00031954" w14:paraId="64A782C3" w14:textId="77777777" w:rsidTr="007D4FB7">
        <w:tc>
          <w:tcPr>
            <w:tcW w:w="3216" w:type="dxa"/>
          </w:tcPr>
          <w:p w14:paraId="61D3B397" w14:textId="77777777" w:rsidR="00031954" w:rsidRPr="00031954" w:rsidRDefault="00031954" w:rsidP="004A78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360" w:type="dxa"/>
          </w:tcPr>
          <w:p w14:paraId="119D8FEF" w14:textId="77777777" w:rsidR="00031954" w:rsidRPr="00031954" w:rsidRDefault="00031954" w:rsidP="00031954">
            <w:pPr>
              <w:ind w:left="3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6AF3D228" w14:textId="77777777" w:rsidTr="007D4FB7">
        <w:tc>
          <w:tcPr>
            <w:tcW w:w="3216" w:type="dxa"/>
          </w:tcPr>
          <w:p w14:paraId="095062DC" w14:textId="77777777" w:rsidR="007D4FB7" w:rsidRDefault="007D4FB7" w:rsidP="007D4FB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ED5A9A" w14:textId="77777777" w:rsidR="00031954" w:rsidRPr="007D4FB7" w:rsidRDefault="00031954" w:rsidP="007D4FB7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7D4FB7">
              <w:rPr>
                <w:rFonts w:ascii="Arial" w:hAnsi="Arial" w:cs="Arial"/>
                <w:color w:val="000000" w:themeColor="text1"/>
              </w:rPr>
              <w:t>Acciones para evitar el cambio de uso de terrenos forestales</w:t>
            </w:r>
          </w:p>
        </w:tc>
        <w:tc>
          <w:tcPr>
            <w:tcW w:w="6360" w:type="dxa"/>
          </w:tcPr>
          <w:p w14:paraId="0BB9A721" w14:textId="77777777" w:rsidR="00DA1996" w:rsidRPr="00FA6BEE" w:rsidRDefault="00FA6BEE" w:rsidP="00F9269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FA6BEE">
              <w:rPr>
                <w:rFonts w:ascii="Arial" w:hAnsi="Arial" w:cs="Arial"/>
                <w:color w:val="000000" w:themeColor="text1"/>
              </w:rPr>
              <w:t>El texto de la Ley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debe prohibir</w:t>
            </w:r>
            <w:r w:rsidRPr="00FA6BEE">
              <w:rPr>
                <w:rFonts w:ascii="Arial" w:hAnsi="Arial" w:cs="Arial"/>
                <w:color w:val="000000" w:themeColor="text1"/>
              </w:rPr>
              <w:t xml:space="preserve"> el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>cambio de uso del suelo en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terrenos  forestales</w:t>
            </w:r>
            <w:r w:rsidRPr="00FA6BEE">
              <w:rPr>
                <w:rFonts w:ascii="Arial" w:hAnsi="Arial" w:cs="Arial"/>
                <w:color w:val="000000" w:themeColor="text1"/>
              </w:rPr>
              <w:t xml:space="preserve"> de manera expresa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.</w:t>
            </w:r>
          </w:p>
          <w:p w14:paraId="6C4D6717" w14:textId="77777777" w:rsidR="00FA6BEE" w:rsidRPr="00FA6BEE" w:rsidRDefault="00FA6BEE" w:rsidP="00F9269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  <w:p w14:paraId="7078CFD8" w14:textId="77777777" w:rsidR="00DA1996" w:rsidRPr="00FA6BEE" w:rsidRDefault="00FA6BEE" w:rsidP="00F9269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FA6BEE">
              <w:rPr>
                <w:rFonts w:ascii="Arial" w:hAnsi="Arial" w:cs="Arial"/>
                <w:color w:val="000000" w:themeColor="text1"/>
              </w:rPr>
              <w:t>La legislación debe ser clara al señalar que ú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nicamente 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>a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quellos proyectos de  utilidad  pública determinada con base 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>en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1996" w:rsidRPr="00F92693">
              <w:rPr>
                <w:rFonts w:ascii="Arial" w:hAnsi="Arial" w:cs="Arial"/>
                <w:color w:val="000000" w:themeColor="text1"/>
              </w:rPr>
              <w:t xml:space="preserve">estudios  técnicos  justificativos 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que deben interpretarse de forma integral, y </w:t>
            </w:r>
            <w:r w:rsidR="00DA1996" w:rsidRPr="00F92693">
              <w:rPr>
                <w:rFonts w:ascii="Arial" w:hAnsi="Arial" w:cs="Arial"/>
                <w:color w:val="000000" w:themeColor="text1"/>
              </w:rPr>
              <w:t>previa   opinión   técnica   de   los   miembros   del Consejo  Estatal  Forestal  de  que  se  trate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,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 xml:space="preserve">  la  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SEMARNAT </w:t>
            </w:r>
            <w:r w:rsidR="00DA1996" w:rsidRPr="00F92693">
              <w:rPr>
                <w:rFonts w:ascii="Arial" w:hAnsi="Arial" w:cs="Arial"/>
                <w:color w:val="000000" w:themeColor="text1"/>
              </w:rPr>
              <w:t>excepci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onalmente, puede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7F16" w:rsidRPr="00FA6BE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t xml:space="preserve">autorizar el cambio de </w:t>
            </w:r>
            <w:r w:rsidR="00F92693" w:rsidRPr="00F92693">
              <w:rPr>
                <w:rFonts w:ascii="Arial" w:hAnsi="Arial" w:cs="Arial"/>
                <w:color w:val="000000" w:themeColor="text1"/>
              </w:rPr>
              <w:lastRenderedPageBreak/>
              <w:t xml:space="preserve">uso de suelo en terrenos forestales 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.</w:t>
            </w:r>
            <w:r w:rsidR="00DF7F16" w:rsidRPr="00FA6BE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CA8049" w14:textId="77777777" w:rsidR="00DF7F16" w:rsidRPr="00FA6BEE" w:rsidRDefault="00DF7F16" w:rsidP="00427765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  <w:p w14:paraId="24A8633D" w14:textId="77777777" w:rsidR="00427765" w:rsidRPr="00031954" w:rsidDel="00BA4E56" w:rsidRDefault="00FA6BEE" w:rsidP="00FA6BEE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uidar la redacción de la Ley a fin de que l</w:t>
            </w:r>
            <w:r w:rsidR="00427765" w:rsidRPr="00427765">
              <w:rPr>
                <w:rFonts w:ascii="Arial" w:hAnsi="Arial" w:cs="Arial"/>
                <w:color w:val="000000" w:themeColor="text1"/>
              </w:rPr>
              <w:t xml:space="preserve">a  Secretaría </w:t>
            </w:r>
            <w:r>
              <w:rPr>
                <w:rFonts w:ascii="Arial" w:hAnsi="Arial" w:cs="Arial"/>
                <w:color w:val="000000" w:themeColor="text1"/>
              </w:rPr>
              <w:t>cuente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con la facultad de poder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o no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="00427765" w:rsidRPr="00FA6BE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27765" w:rsidRPr="00427765">
              <w:rPr>
                <w:rFonts w:ascii="Arial" w:hAnsi="Arial" w:cs="Arial"/>
                <w:color w:val="000000" w:themeColor="text1"/>
              </w:rPr>
              <w:t>autorizar  la  modificación  de  una autorización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 xml:space="preserve"> de CUS </w:t>
            </w:r>
            <w:r w:rsidR="00427765" w:rsidRPr="00427765">
              <w:rPr>
                <w:rFonts w:ascii="Arial" w:hAnsi="Arial" w:cs="Arial"/>
                <w:color w:val="000000" w:themeColor="text1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</w:rPr>
              <w:t>su</w:t>
            </w:r>
            <w:r w:rsidR="00427765" w:rsidRPr="00427765">
              <w:rPr>
                <w:rFonts w:ascii="Arial" w:hAnsi="Arial" w:cs="Arial"/>
                <w:color w:val="000000" w:themeColor="text1"/>
              </w:rPr>
              <w:t xml:space="preserve"> plazo de ejecución</w:t>
            </w:r>
            <w:r w:rsidR="00DA1996" w:rsidRPr="00FA6BEE">
              <w:rPr>
                <w:rFonts w:ascii="Arial" w:hAnsi="Arial" w:cs="Arial"/>
                <w:color w:val="000000" w:themeColor="text1"/>
              </w:rPr>
              <w:t>; pero de ninguna forma debe ser una obligación  predeterminada.</w:t>
            </w:r>
            <w:r w:rsidR="00DA1996" w:rsidRPr="00031954" w:rsidDel="00BA4E5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26D22ECF" w14:textId="77777777" w:rsidR="006E6F40" w:rsidRPr="00E4193A" w:rsidRDefault="006E6F40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685A92CA" w14:textId="77777777" w:rsidR="006E6F40" w:rsidRDefault="002239B6" w:rsidP="00BC6821">
      <w:pPr>
        <w:jc w:val="both"/>
        <w:outlineLvl w:val="0"/>
        <w:rPr>
          <w:rFonts w:ascii="Arial" w:hAnsi="Arial" w:cs="Arial"/>
          <w:b/>
          <w:color w:val="000000" w:themeColor="text1"/>
          <w:sz w:val="22"/>
          <w:u w:val="single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3- </w:t>
      </w:r>
      <w:r w:rsidR="000714C2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Mejora regulatoria</w:t>
      </w:r>
      <w:r w:rsidR="006E6F40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:</w:t>
      </w:r>
    </w:p>
    <w:p w14:paraId="75BE362E" w14:textId="77777777" w:rsidR="007D2846" w:rsidRDefault="007D2846" w:rsidP="00013CC3">
      <w:pPr>
        <w:jc w:val="both"/>
        <w:rPr>
          <w:rFonts w:ascii="Arial" w:hAnsi="Arial" w:cs="Arial"/>
          <w:b/>
          <w:color w:val="000000" w:themeColor="text1"/>
          <w:sz w:val="22"/>
          <w:u w:val="single"/>
          <w:lang w:val="es-ES"/>
        </w:rPr>
      </w:pPr>
    </w:p>
    <w:tbl>
      <w:tblPr>
        <w:tblStyle w:val="Tablaconcuadrcula"/>
        <w:tblW w:w="14514" w:type="dxa"/>
        <w:tblInd w:w="667" w:type="dxa"/>
        <w:tblLook w:val="04A0" w:firstRow="1" w:lastRow="0" w:firstColumn="1" w:lastColumn="0" w:noHBand="0" w:noVBand="1"/>
      </w:tblPr>
      <w:tblGrid>
        <w:gridCol w:w="5670"/>
        <w:gridCol w:w="3969"/>
        <w:gridCol w:w="4875"/>
      </w:tblGrid>
      <w:tr w:rsidR="00031954" w14:paraId="47C1D9F6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1D318B02" w14:textId="77777777" w:rsidR="007D2846" w:rsidRPr="00E4193A" w:rsidRDefault="007D2846" w:rsidP="007D28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4193A">
              <w:rPr>
                <w:rFonts w:ascii="Arial" w:hAnsi="Arial" w:cs="Arial"/>
                <w:color w:val="000000" w:themeColor="text1"/>
              </w:rPr>
              <w:t>Descentralización de funciones a las regiones, los estados y municipios y coadyuvancia.</w:t>
            </w:r>
          </w:p>
          <w:p w14:paraId="10AE8ECA" w14:textId="77777777" w:rsidR="007D2846" w:rsidRP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3969" w:type="dxa"/>
          </w:tcPr>
          <w:p w14:paraId="13A8A4AA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1B1AB453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72D381CA" w14:textId="77777777" w:rsidR="007D2846" w:rsidRPr="00E4193A" w:rsidRDefault="007D2846" w:rsidP="007D28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4193A">
              <w:rPr>
                <w:rFonts w:ascii="Arial" w:hAnsi="Arial" w:cs="Arial"/>
                <w:color w:val="000000" w:themeColor="text1"/>
              </w:rPr>
              <w:t>Habilitación de gestores campesinos</w:t>
            </w:r>
          </w:p>
          <w:p w14:paraId="372710E7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  <w:tc>
          <w:tcPr>
            <w:tcW w:w="3969" w:type="dxa"/>
          </w:tcPr>
          <w:p w14:paraId="70C044C2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41E805AA" w14:textId="77777777" w:rsidTr="00031954">
        <w:tc>
          <w:tcPr>
            <w:tcW w:w="5670" w:type="dxa"/>
          </w:tcPr>
          <w:p w14:paraId="6A8492B7" w14:textId="77777777" w:rsidR="007D2846" w:rsidRPr="007D2846" w:rsidRDefault="007D2846" w:rsidP="007D2846">
            <w:pPr>
              <w:pStyle w:val="Prrafodelista"/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  <w:p w14:paraId="7AFD6A04" w14:textId="77777777" w:rsidR="007D2846" w:rsidRPr="007D2846" w:rsidRDefault="007D2846" w:rsidP="007D284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  <w:r w:rsidRPr="007D2846">
              <w:rPr>
                <w:rFonts w:ascii="Arial" w:hAnsi="Arial" w:cs="Arial"/>
                <w:color w:val="000000" w:themeColor="text1"/>
              </w:rPr>
              <w:t>Manejo de acahuales</w:t>
            </w:r>
            <w:r w:rsidR="002270D0">
              <w:rPr>
                <w:rFonts w:ascii="Arial" w:hAnsi="Arial" w:cs="Arial"/>
                <w:color w:val="000000" w:themeColor="text1"/>
              </w:rPr>
              <w:t xml:space="preserve"> y reforestación </w:t>
            </w:r>
          </w:p>
        </w:tc>
        <w:tc>
          <w:tcPr>
            <w:tcW w:w="3969" w:type="dxa"/>
          </w:tcPr>
          <w:p w14:paraId="66D91F1A" w14:textId="77777777" w:rsidR="00031954" w:rsidRDefault="00031954" w:rsidP="00013CC3">
            <w:pPr>
              <w:jc w:val="both"/>
              <w:rPr>
                <w:rFonts w:ascii="Arial" w:eastAsia="Calibri" w:hAnsi="Arial" w:cs="Arial"/>
              </w:rPr>
            </w:pPr>
          </w:p>
          <w:p w14:paraId="328B07D5" w14:textId="77777777" w:rsidR="00031954" w:rsidRPr="00031954" w:rsidRDefault="00031954" w:rsidP="0003195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031954">
              <w:rPr>
                <w:rFonts w:ascii="Arial" w:eastAsia="Calibri" w:hAnsi="Arial" w:cs="Arial"/>
              </w:rPr>
              <w:t>Definir a los acahuales como un terrenso temporalmente forestal</w:t>
            </w:r>
          </w:p>
          <w:p w14:paraId="1AB832A0" w14:textId="77777777" w:rsidR="007D2846" w:rsidRPr="00031954" w:rsidRDefault="00031954" w:rsidP="0003195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Incluir entra las funciones de la Semarnat </w:t>
            </w:r>
            <w:r w:rsidR="002270D0">
              <w:rPr>
                <w:rFonts w:ascii="Arial" w:eastAsia="Calibri" w:hAnsi="Arial" w:cs="Arial"/>
              </w:rPr>
              <w:t>el recibir avisos de aprovechamiento de acahuales y aviso de reforestación (productiva).</w:t>
            </w:r>
          </w:p>
          <w:p w14:paraId="277AD91A" w14:textId="77777777" w:rsidR="007D2846" w:rsidRDefault="007D2846" w:rsidP="00013CC3">
            <w:pPr>
              <w:jc w:val="both"/>
              <w:rPr>
                <w:rFonts w:ascii="Arial" w:eastAsia="Calibri" w:hAnsi="Arial" w:cs="Arial"/>
              </w:rPr>
            </w:pPr>
          </w:p>
          <w:p w14:paraId="2EE77E08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  <w:r w:rsidRPr="003871AE">
              <w:t>XXXIII. Recibir los avisos de plantaciones forestales comerciales y de aprovechamiento de recursos forestales no maderables</w:t>
            </w:r>
            <w:r w:rsidRPr="006D17F6">
              <w:rPr>
                <w:shd w:val="clear" w:color="auto" w:fill="C2D69B"/>
              </w:rPr>
              <w:t xml:space="preserve">, </w:t>
            </w:r>
            <w:r w:rsidRPr="006D17F6">
              <w:rPr>
                <w:b/>
                <w:shd w:val="clear" w:color="auto" w:fill="C2D69B"/>
              </w:rPr>
              <w:t>así como de aprovechamiento y manejo de acahuales y de aprovechamiento de productos</w:t>
            </w:r>
            <w:r>
              <w:rPr>
                <w:b/>
                <w:shd w:val="clear" w:color="auto" w:fill="C2D69B"/>
              </w:rPr>
              <w:t xml:space="preserve"> foresta</w:t>
            </w:r>
            <w:r w:rsidRPr="006D17F6">
              <w:rPr>
                <w:b/>
                <w:shd w:val="clear" w:color="auto" w:fill="C2D69B"/>
              </w:rPr>
              <w:t>les provenientes de</w:t>
            </w:r>
            <w:r>
              <w:rPr>
                <w:b/>
                <w:shd w:val="clear" w:color="auto" w:fill="C2D69B"/>
              </w:rPr>
              <w:t xml:space="preserve"> reforestación</w:t>
            </w:r>
          </w:p>
        </w:tc>
        <w:tc>
          <w:tcPr>
            <w:tcW w:w="4875" w:type="dxa"/>
          </w:tcPr>
          <w:p w14:paraId="01DACC9B" w14:textId="77777777" w:rsidR="007D2846" w:rsidRDefault="007D2846">
            <w:pPr>
              <w:spacing w:after="200" w:line="276" w:lineRule="auto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140FAEA7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7D2E1CCE" w14:textId="77777777" w:rsidR="004E02DE" w:rsidRDefault="004E02DE" w:rsidP="004E02DE">
            <w:pPr>
              <w:pStyle w:val="Prrafodelista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D13F7B4" w14:textId="77777777" w:rsidR="007D2846" w:rsidRPr="00E4193A" w:rsidRDefault="007D2846" w:rsidP="007D28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4193A">
              <w:rPr>
                <w:rFonts w:ascii="Arial" w:hAnsi="Arial" w:cs="Arial"/>
                <w:color w:val="000000" w:themeColor="text1"/>
              </w:rPr>
              <w:t>Aserraderos portátiles</w:t>
            </w:r>
          </w:p>
          <w:p w14:paraId="3212B1BF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  <w:tc>
          <w:tcPr>
            <w:tcW w:w="3969" w:type="dxa"/>
          </w:tcPr>
          <w:p w14:paraId="1239C1E2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  <w:p w14:paraId="4CCFB83E" w14:textId="77777777" w:rsidR="004E02DE" w:rsidRDefault="004E02DE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  <w:p w14:paraId="57DC04C1" w14:textId="77777777" w:rsidR="004E02DE" w:rsidRDefault="004E02DE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  <w:p w14:paraId="2EAF3EF9" w14:textId="77777777" w:rsidR="004E02DE" w:rsidRDefault="004E02DE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5C383B6C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38ABE821" w14:textId="77777777" w:rsidR="00031954" w:rsidRDefault="00031954" w:rsidP="00031954">
            <w:pPr>
              <w:pStyle w:val="Prrafodelista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5F4FAF4" w14:textId="77777777" w:rsidR="007D2846" w:rsidRPr="00E4193A" w:rsidRDefault="007D2846" w:rsidP="007D28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4193A">
              <w:rPr>
                <w:rFonts w:ascii="Arial" w:hAnsi="Arial" w:cs="Arial"/>
                <w:color w:val="000000" w:themeColor="text1"/>
              </w:rPr>
              <w:t>MIA para el manejo forestal en selvas</w:t>
            </w:r>
          </w:p>
          <w:p w14:paraId="124C28A0" w14:textId="77777777" w:rsidR="007D2846" w:rsidRP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3969" w:type="dxa"/>
          </w:tcPr>
          <w:p w14:paraId="0EBF4EA1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6DDAB711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744C7C44" w14:textId="77777777" w:rsidR="00031954" w:rsidRPr="00E4193A" w:rsidRDefault="00031954" w:rsidP="0003195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4193A">
              <w:rPr>
                <w:rFonts w:ascii="Arial" w:hAnsi="Arial" w:cs="Arial"/>
                <w:color w:val="000000" w:themeColor="text1"/>
              </w:rPr>
              <w:t>Regionalización de NOM 59</w:t>
            </w:r>
          </w:p>
          <w:p w14:paraId="35483B55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  <w:tc>
          <w:tcPr>
            <w:tcW w:w="3969" w:type="dxa"/>
          </w:tcPr>
          <w:p w14:paraId="2F1904D2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031954" w14:paraId="2887C970" w14:textId="77777777" w:rsidTr="00031954">
        <w:trPr>
          <w:gridAfter w:val="1"/>
          <w:wAfter w:w="4875" w:type="dxa"/>
        </w:trPr>
        <w:tc>
          <w:tcPr>
            <w:tcW w:w="5670" w:type="dxa"/>
          </w:tcPr>
          <w:p w14:paraId="7AADEBA7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  <w:tc>
          <w:tcPr>
            <w:tcW w:w="3969" w:type="dxa"/>
          </w:tcPr>
          <w:p w14:paraId="7D3655D5" w14:textId="77777777" w:rsidR="007D2846" w:rsidRDefault="007D2846" w:rsidP="00013CC3">
            <w:pPr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</w:pPr>
          </w:p>
        </w:tc>
      </w:tr>
    </w:tbl>
    <w:p w14:paraId="7C47874E" w14:textId="77777777" w:rsidR="007D2846" w:rsidRDefault="007D2846" w:rsidP="00013CC3">
      <w:pPr>
        <w:jc w:val="both"/>
        <w:rPr>
          <w:rFonts w:ascii="Arial" w:hAnsi="Arial" w:cs="Arial"/>
          <w:b/>
          <w:color w:val="000000" w:themeColor="text1"/>
          <w:sz w:val="22"/>
          <w:u w:val="single"/>
          <w:lang w:val="es-ES"/>
        </w:rPr>
      </w:pPr>
    </w:p>
    <w:p w14:paraId="5F1EAF53" w14:textId="77777777" w:rsidR="007D2846" w:rsidRDefault="007D2846" w:rsidP="00013CC3">
      <w:pPr>
        <w:jc w:val="both"/>
        <w:rPr>
          <w:rFonts w:ascii="Arial" w:hAnsi="Arial" w:cs="Arial"/>
          <w:b/>
          <w:color w:val="000000" w:themeColor="text1"/>
          <w:sz w:val="22"/>
          <w:u w:val="single"/>
          <w:lang w:val="es-ES"/>
        </w:rPr>
      </w:pPr>
    </w:p>
    <w:p w14:paraId="3738E3E3" w14:textId="77777777" w:rsidR="00112E3E" w:rsidRPr="00E4193A" w:rsidRDefault="00112E3E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1C8B420D" w14:textId="77777777" w:rsidR="00B632D4" w:rsidRPr="00E4193A" w:rsidRDefault="002239B6" w:rsidP="00BC6821">
      <w:pPr>
        <w:jc w:val="both"/>
        <w:outlineLvl w:val="0"/>
        <w:rPr>
          <w:rFonts w:ascii="Arial" w:hAnsi="Arial" w:cs="Arial"/>
          <w:color w:val="000000" w:themeColor="text1"/>
          <w:sz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4- </w:t>
      </w:r>
      <w:r w:rsidR="000714C2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Legalidad</w:t>
      </w: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 y transparencia</w:t>
      </w:r>
      <w:r w:rsidR="000714C2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:</w:t>
      </w:r>
      <w:r w:rsidR="000714C2" w:rsidRPr="00E4193A">
        <w:rPr>
          <w:rFonts w:ascii="Arial" w:hAnsi="Arial" w:cs="Arial"/>
          <w:color w:val="000000" w:themeColor="text1"/>
          <w:sz w:val="22"/>
          <w:lang w:val="es-ES"/>
        </w:rPr>
        <w:t xml:space="preserve"> </w:t>
      </w:r>
    </w:p>
    <w:tbl>
      <w:tblPr>
        <w:tblStyle w:val="Tablaconcuadrcula"/>
        <w:tblW w:w="9586" w:type="dxa"/>
        <w:tblInd w:w="720" w:type="dxa"/>
        <w:tblLook w:val="04A0" w:firstRow="1" w:lastRow="0" w:firstColumn="1" w:lastColumn="0" w:noHBand="0" w:noVBand="1"/>
      </w:tblPr>
      <w:tblGrid>
        <w:gridCol w:w="5667"/>
        <w:gridCol w:w="3919"/>
      </w:tblGrid>
      <w:tr w:rsidR="00031954" w:rsidRPr="00031954" w14:paraId="67385203" w14:textId="77777777" w:rsidTr="00031954">
        <w:tc>
          <w:tcPr>
            <w:tcW w:w="5667" w:type="dxa"/>
          </w:tcPr>
          <w:p w14:paraId="2571A43F" w14:textId="77777777" w:rsidR="00031954" w:rsidRPr="00031954" w:rsidRDefault="00031954" w:rsidP="00FF76E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Regulación de madererías y resto de cadena</w:t>
            </w:r>
          </w:p>
        </w:tc>
        <w:tc>
          <w:tcPr>
            <w:tcW w:w="3919" w:type="dxa"/>
          </w:tcPr>
          <w:p w14:paraId="13B6CF38" w14:textId="77777777" w:rsidR="00031954" w:rsidRPr="00031954" w:rsidRDefault="00031954" w:rsidP="00FF76E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146ED53F" w14:textId="77777777" w:rsidTr="00031954">
        <w:tc>
          <w:tcPr>
            <w:tcW w:w="5667" w:type="dxa"/>
          </w:tcPr>
          <w:p w14:paraId="76AF1F8B" w14:textId="77777777" w:rsidR="00031954" w:rsidRPr="00031954" w:rsidRDefault="00031954" w:rsidP="00FF76E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Programas regionales concertados</w:t>
            </w:r>
          </w:p>
        </w:tc>
        <w:tc>
          <w:tcPr>
            <w:tcW w:w="3919" w:type="dxa"/>
          </w:tcPr>
          <w:p w14:paraId="375A0B43" w14:textId="77777777" w:rsidR="00031954" w:rsidRPr="00031954" w:rsidRDefault="00031954" w:rsidP="00FF76E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5F4B55DB" w14:textId="77777777" w:rsidTr="00031954">
        <w:tc>
          <w:tcPr>
            <w:tcW w:w="5667" w:type="dxa"/>
          </w:tcPr>
          <w:p w14:paraId="7AF7856F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Coadyuvancia</w:t>
            </w:r>
            <w:proofErr w:type="spellEnd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, capacitación, coordinación </w:t>
            </w: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lastRenderedPageBreak/>
              <w:t>regional intersectorial y con fuerzas públicas</w:t>
            </w:r>
          </w:p>
        </w:tc>
        <w:tc>
          <w:tcPr>
            <w:tcW w:w="3919" w:type="dxa"/>
          </w:tcPr>
          <w:p w14:paraId="04C6F255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085B4B37" w14:textId="77777777" w:rsidTr="00031954">
        <w:tc>
          <w:tcPr>
            <w:tcW w:w="5667" w:type="dxa"/>
          </w:tcPr>
          <w:p w14:paraId="6829AE7D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lastRenderedPageBreak/>
              <w:t>Fortalecimiento de funciones de la PROFEPA</w:t>
            </w:r>
          </w:p>
        </w:tc>
        <w:tc>
          <w:tcPr>
            <w:tcW w:w="3919" w:type="dxa"/>
          </w:tcPr>
          <w:p w14:paraId="2217DBE3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5002C1DD" w14:textId="77777777" w:rsidTr="00031954">
        <w:tc>
          <w:tcPr>
            <w:tcW w:w="5667" w:type="dxa"/>
          </w:tcPr>
          <w:p w14:paraId="316135DA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Compras gubernamentales de productos de origen legal y certificado</w:t>
            </w:r>
          </w:p>
        </w:tc>
        <w:tc>
          <w:tcPr>
            <w:tcW w:w="3919" w:type="dxa"/>
          </w:tcPr>
          <w:p w14:paraId="795BC0DC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637AF879" w14:textId="77777777" w:rsidTr="00031954">
        <w:tc>
          <w:tcPr>
            <w:tcW w:w="5667" w:type="dxa"/>
          </w:tcPr>
          <w:p w14:paraId="14D42490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Generación, gestión y acceso a información relevante para la planeación y la rendición de cuentas.</w:t>
            </w:r>
          </w:p>
        </w:tc>
        <w:tc>
          <w:tcPr>
            <w:tcW w:w="3919" w:type="dxa"/>
          </w:tcPr>
          <w:p w14:paraId="298B63A8" w14:textId="77777777" w:rsidR="00031954" w:rsidRPr="00031954" w:rsidRDefault="00031954" w:rsidP="00FF76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7F9B2EFE" w14:textId="77777777" w:rsidR="00021F41" w:rsidRPr="00E4193A" w:rsidRDefault="00021F41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7F66BBD5" w14:textId="77777777" w:rsidR="00021F41" w:rsidRPr="00E4193A" w:rsidRDefault="002239B6" w:rsidP="00BC6821">
      <w:pPr>
        <w:jc w:val="both"/>
        <w:outlineLvl w:val="0"/>
        <w:rPr>
          <w:rFonts w:ascii="Arial" w:hAnsi="Arial" w:cs="Arial"/>
          <w:b/>
          <w:color w:val="000000" w:themeColor="text1"/>
          <w:sz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5- Servicios técnicos</w:t>
      </w:r>
      <w:r w:rsidRPr="00E4193A">
        <w:rPr>
          <w:rFonts w:ascii="Arial" w:hAnsi="Arial" w:cs="Arial"/>
          <w:b/>
          <w:color w:val="000000" w:themeColor="text1"/>
          <w:sz w:val="22"/>
          <w:lang w:val="es-ES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53"/>
        <w:gridCol w:w="4023"/>
      </w:tblGrid>
      <w:tr w:rsidR="00031954" w:rsidRPr="00031954" w14:paraId="06C138F5" w14:textId="77777777" w:rsidTr="00031954">
        <w:tc>
          <w:tcPr>
            <w:tcW w:w="5553" w:type="dxa"/>
          </w:tcPr>
          <w:p w14:paraId="2340DA6F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Fortalecimiento de los prestadores de servicios técnicos forestales</w:t>
            </w:r>
          </w:p>
        </w:tc>
        <w:tc>
          <w:tcPr>
            <w:tcW w:w="4023" w:type="dxa"/>
          </w:tcPr>
          <w:p w14:paraId="0A089823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7D060E80" w14:textId="77777777" w:rsidTr="00031954">
        <w:tc>
          <w:tcPr>
            <w:tcW w:w="5553" w:type="dxa"/>
          </w:tcPr>
          <w:p w14:paraId="3DB2B1FF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Evaluación y refrendo de registro</w:t>
            </w:r>
          </w:p>
        </w:tc>
        <w:tc>
          <w:tcPr>
            <w:tcW w:w="4023" w:type="dxa"/>
          </w:tcPr>
          <w:p w14:paraId="0B6356D0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7564D588" w14:textId="77777777" w:rsidTr="00031954">
        <w:tc>
          <w:tcPr>
            <w:tcW w:w="5553" w:type="dxa"/>
          </w:tcPr>
          <w:p w14:paraId="6C673364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Habilitación de técnicos campesinos para trabajos determinados</w:t>
            </w:r>
          </w:p>
        </w:tc>
        <w:tc>
          <w:tcPr>
            <w:tcW w:w="4023" w:type="dxa"/>
          </w:tcPr>
          <w:p w14:paraId="4E2B7CF0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24CE7034" w14:textId="77777777" w:rsidTr="00031954">
        <w:tc>
          <w:tcPr>
            <w:tcW w:w="5553" w:type="dxa"/>
          </w:tcPr>
          <w:p w14:paraId="3860B426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Apertura a profesiones afines e interdisciplinariedad y medios de habilitación de competencias</w:t>
            </w:r>
          </w:p>
        </w:tc>
        <w:tc>
          <w:tcPr>
            <w:tcW w:w="4023" w:type="dxa"/>
          </w:tcPr>
          <w:p w14:paraId="70EBE573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5498C100" w14:textId="77777777" w:rsidTr="00031954">
        <w:tc>
          <w:tcPr>
            <w:tcW w:w="5553" w:type="dxa"/>
          </w:tcPr>
          <w:p w14:paraId="1EB34572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Diferenciación y catalogación de especialidades</w:t>
            </w:r>
          </w:p>
        </w:tc>
        <w:tc>
          <w:tcPr>
            <w:tcW w:w="4023" w:type="dxa"/>
          </w:tcPr>
          <w:p w14:paraId="5E7BF5FD" w14:textId="77777777" w:rsidR="00031954" w:rsidRPr="00031954" w:rsidRDefault="00031954" w:rsidP="000051D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033111E4" w14:textId="77777777" w:rsidR="00021F41" w:rsidRPr="00E4193A" w:rsidRDefault="00021F41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0C881918" w14:textId="77777777" w:rsidR="00021F41" w:rsidRPr="00E4193A" w:rsidRDefault="002239B6" w:rsidP="00BC6821">
      <w:pPr>
        <w:jc w:val="both"/>
        <w:outlineLvl w:val="0"/>
        <w:rPr>
          <w:rFonts w:ascii="Arial" w:hAnsi="Arial" w:cs="Arial"/>
          <w:color w:val="000000" w:themeColor="text1"/>
          <w:sz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6- </w:t>
      </w:r>
      <w:r w:rsidR="000714C2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Descentralización </w:t>
      </w:r>
      <w:r w:rsidR="003C7498">
        <w:rPr>
          <w:rFonts w:ascii="Arial" w:hAnsi="Arial" w:cs="Arial"/>
          <w:color w:val="000000" w:themeColor="text1"/>
          <w:sz w:val="22"/>
          <w:lang w:val="es-ES"/>
        </w:rPr>
        <w:t xml:space="preserve">Esto ya </w:t>
      </w:r>
      <w:proofErr w:type="spellStart"/>
      <w:r w:rsidR="003C7498">
        <w:rPr>
          <w:rFonts w:ascii="Arial" w:hAnsi="Arial" w:cs="Arial"/>
          <w:color w:val="000000" w:themeColor="text1"/>
          <w:sz w:val="22"/>
          <w:lang w:val="es-ES"/>
        </w:rPr>
        <w:t>esta</w:t>
      </w:r>
      <w:proofErr w:type="spellEnd"/>
      <w:r w:rsidR="003C7498">
        <w:rPr>
          <w:rFonts w:ascii="Arial" w:hAnsi="Arial" w:cs="Arial"/>
          <w:color w:val="000000" w:themeColor="text1"/>
          <w:sz w:val="22"/>
          <w:lang w:val="es-ES"/>
        </w:rPr>
        <w:t xml:space="preserve"> arriba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70"/>
        <w:gridCol w:w="4006"/>
      </w:tblGrid>
      <w:tr w:rsidR="00031954" w:rsidRPr="00031954" w14:paraId="394025B8" w14:textId="77777777" w:rsidTr="00031954">
        <w:tc>
          <w:tcPr>
            <w:tcW w:w="5570" w:type="dxa"/>
          </w:tcPr>
          <w:p w14:paraId="5C376936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Unidades regionales: concurrencia con desarrollo rural y cuencas</w:t>
            </w:r>
          </w:p>
        </w:tc>
        <w:tc>
          <w:tcPr>
            <w:tcW w:w="4006" w:type="dxa"/>
          </w:tcPr>
          <w:p w14:paraId="54CC35FE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0D8D2CA5" w14:textId="77777777" w:rsidTr="00031954">
        <w:tc>
          <w:tcPr>
            <w:tcW w:w="5570" w:type="dxa"/>
          </w:tcPr>
          <w:p w14:paraId="6CF3D284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Dotación de bienes públicos (inventarios, equipos compartidos, planeación de temas amplios) </w:t>
            </w:r>
          </w:p>
        </w:tc>
        <w:tc>
          <w:tcPr>
            <w:tcW w:w="4006" w:type="dxa"/>
          </w:tcPr>
          <w:p w14:paraId="60E00784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4DA6133C" w14:textId="77777777" w:rsidTr="00031954">
        <w:tc>
          <w:tcPr>
            <w:tcW w:w="5570" w:type="dxa"/>
          </w:tcPr>
          <w:p w14:paraId="7BF679AC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Establecimiento de comités de coadyuvancia para la agilización y recurso en el proceso de dictamen y aprobación.</w:t>
            </w:r>
          </w:p>
        </w:tc>
        <w:tc>
          <w:tcPr>
            <w:tcW w:w="4006" w:type="dxa"/>
          </w:tcPr>
          <w:p w14:paraId="39A6C37B" w14:textId="77777777" w:rsidR="00031954" w:rsidRPr="00031954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:rsidDel="003C7498" w14:paraId="499B280A" w14:textId="77777777" w:rsidTr="00031954">
        <w:tc>
          <w:tcPr>
            <w:tcW w:w="5570" w:type="dxa"/>
          </w:tcPr>
          <w:p w14:paraId="773CBE8F" w14:textId="77777777" w:rsidR="00031954" w:rsidRPr="00031954" w:rsidDel="003C7498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006" w:type="dxa"/>
          </w:tcPr>
          <w:p w14:paraId="70676503" w14:textId="77777777" w:rsidR="00031954" w:rsidRPr="00031954" w:rsidDel="003C7498" w:rsidRDefault="00031954" w:rsidP="00BE1C6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605BDC86" w14:textId="77777777" w:rsidR="00013CC3" w:rsidRPr="00E4193A" w:rsidRDefault="00013CC3" w:rsidP="00013CC3">
      <w:pPr>
        <w:jc w:val="both"/>
        <w:rPr>
          <w:rFonts w:ascii="Arial" w:hAnsi="Arial" w:cs="Arial"/>
          <w:b/>
          <w:color w:val="000000" w:themeColor="text1"/>
          <w:sz w:val="22"/>
          <w:u w:val="single"/>
          <w:lang w:val="es-ES"/>
        </w:rPr>
      </w:pPr>
    </w:p>
    <w:p w14:paraId="3F27F92A" w14:textId="77777777" w:rsidR="00021F41" w:rsidRPr="00E4193A" w:rsidRDefault="002239B6" w:rsidP="00BC6821">
      <w:pPr>
        <w:jc w:val="both"/>
        <w:outlineLvl w:val="0"/>
        <w:rPr>
          <w:rFonts w:ascii="Arial" w:hAnsi="Arial" w:cs="Arial"/>
          <w:color w:val="000000" w:themeColor="text1"/>
          <w:sz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7- </w:t>
      </w:r>
      <w:r w:rsidR="000714C2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Concentración de funciones:</w:t>
      </w:r>
      <w:r w:rsidR="000714C2" w:rsidRPr="00E4193A">
        <w:rPr>
          <w:rFonts w:ascii="Arial" w:hAnsi="Arial" w:cs="Arial"/>
          <w:b/>
          <w:color w:val="000000" w:themeColor="text1"/>
          <w:sz w:val="22"/>
          <w:lang w:val="es-ES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02"/>
        <w:gridCol w:w="4174"/>
      </w:tblGrid>
      <w:tr w:rsidR="00031954" w:rsidRPr="00031954" w14:paraId="51378B47" w14:textId="77777777" w:rsidTr="00031954">
        <w:tc>
          <w:tcPr>
            <w:tcW w:w="5402" w:type="dxa"/>
          </w:tcPr>
          <w:p w14:paraId="7B8E9D17" w14:textId="77777777" w:rsidR="00031954" w:rsidRPr="00031954" w:rsidRDefault="00031954" w:rsidP="009664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Legalidad de un “Organismo Público Descentralizado” para realizar actos de autoridad</w:t>
            </w:r>
          </w:p>
        </w:tc>
        <w:tc>
          <w:tcPr>
            <w:tcW w:w="4174" w:type="dxa"/>
          </w:tcPr>
          <w:p w14:paraId="292D7D95" w14:textId="77777777" w:rsidR="00031954" w:rsidRPr="00031954" w:rsidRDefault="00031954" w:rsidP="009664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14:paraId="661C0ECF" w14:textId="77777777" w:rsidTr="00031954">
        <w:tc>
          <w:tcPr>
            <w:tcW w:w="5402" w:type="dxa"/>
          </w:tcPr>
          <w:p w14:paraId="5AE70DF0" w14:textId="77777777" w:rsidR="00031954" w:rsidRPr="00031954" w:rsidRDefault="00031954" w:rsidP="009664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Capacidad real y conveniencia de localizar fomento y regulación en el mismo aparato.</w:t>
            </w:r>
          </w:p>
        </w:tc>
        <w:tc>
          <w:tcPr>
            <w:tcW w:w="4174" w:type="dxa"/>
          </w:tcPr>
          <w:p w14:paraId="6D0EA6A6" w14:textId="77777777" w:rsidR="00031954" w:rsidRPr="00031954" w:rsidRDefault="00031954" w:rsidP="009664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D71199A" w14:textId="77777777" w:rsidR="00021F41" w:rsidRPr="00E4193A" w:rsidRDefault="00021F41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56F01331" w14:textId="77777777" w:rsidR="00021F41" w:rsidRPr="00E4193A" w:rsidRDefault="00021F41" w:rsidP="00013CC3">
      <w:pPr>
        <w:jc w:val="both"/>
        <w:rPr>
          <w:rFonts w:ascii="Arial" w:hAnsi="Arial" w:cs="Arial"/>
          <w:color w:val="000000" w:themeColor="text1"/>
          <w:sz w:val="22"/>
          <w:lang w:val="es-ES"/>
        </w:rPr>
      </w:pPr>
      <w:r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 xml:space="preserve">8.- </w:t>
      </w:r>
      <w:r w:rsidR="002239B6" w:rsidRPr="00E4193A">
        <w:rPr>
          <w:rFonts w:ascii="Arial" w:hAnsi="Arial" w:cs="Arial"/>
          <w:b/>
          <w:color w:val="000000" w:themeColor="text1"/>
          <w:sz w:val="22"/>
          <w:u w:val="single"/>
          <w:lang w:val="es-ES"/>
        </w:rPr>
        <w:t>Concordancia con LGEEPA y ley de Biodiversidad</w:t>
      </w:r>
      <w:r w:rsidR="002239B6" w:rsidRPr="00E4193A">
        <w:rPr>
          <w:rFonts w:ascii="Arial" w:hAnsi="Arial" w:cs="Arial"/>
          <w:color w:val="000000" w:themeColor="text1"/>
          <w:sz w:val="22"/>
          <w:lang w:val="es-ES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79"/>
        <w:gridCol w:w="3997"/>
      </w:tblGrid>
      <w:tr w:rsidR="00031954" w:rsidRPr="00031954" w14:paraId="14FDEDEF" w14:textId="77777777" w:rsidTr="00031954">
        <w:tc>
          <w:tcPr>
            <w:tcW w:w="5579" w:type="dxa"/>
          </w:tcPr>
          <w:p w14:paraId="531D2E5E" w14:textId="77777777" w:rsidR="00031954" w:rsidRPr="00031954" w:rsidRDefault="00031954" w:rsidP="00713A9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Traslape de materias y autoridades: autorización de MIA y aprovechamiento de no maderables </w:t>
            </w:r>
          </w:p>
        </w:tc>
        <w:tc>
          <w:tcPr>
            <w:tcW w:w="3997" w:type="dxa"/>
          </w:tcPr>
          <w:p w14:paraId="2188B7BF" w14:textId="77777777" w:rsidR="00031954" w:rsidRPr="00031954" w:rsidRDefault="00031954" w:rsidP="00713A9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031954" w:rsidRPr="00031954" w:rsidDel="00345853" w14:paraId="14B3FFC7" w14:textId="77777777" w:rsidTr="00031954">
        <w:tc>
          <w:tcPr>
            <w:tcW w:w="5579" w:type="dxa"/>
          </w:tcPr>
          <w:p w14:paraId="6C9DB19A" w14:textId="77777777" w:rsidR="00031954" w:rsidRPr="00031954" w:rsidDel="00345853" w:rsidRDefault="00031954" w:rsidP="00713A9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 (nota Las AVC están contempladas en la </w:t>
            </w:r>
            <w:proofErr w:type="spellStart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Leegepa</w:t>
            </w:r>
            <w:proofErr w:type="spellEnd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 y estarán en la </w:t>
            </w:r>
            <w:proofErr w:type="gramStart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>LB;  no</w:t>
            </w:r>
            <w:proofErr w:type="gramEnd"/>
            <w:r w:rsidRPr="00031954">
              <w:rPr>
                <w:rFonts w:ascii="Arial" w:hAnsi="Arial" w:cs="Arial"/>
                <w:color w:val="000000" w:themeColor="text1"/>
                <w:lang w:val="es-ES"/>
              </w:rPr>
              <w:t xml:space="preserve"> hay porque meterla aquí. </w:t>
            </w:r>
          </w:p>
        </w:tc>
        <w:tc>
          <w:tcPr>
            <w:tcW w:w="3997" w:type="dxa"/>
          </w:tcPr>
          <w:p w14:paraId="78B36198" w14:textId="77777777" w:rsidR="00031954" w:rsidRPr="00031954" w:rsidDel="00345853" w:rsidRDefault="00031954" w:rsidP="00713A9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8683D00" w14:textId="77777777" w:rsidR="005D4ADC" w:rsidRPr="00E4193A" w:rsidRDefault="005D4ADC" w:rsidP="00031954">
      <w:pPr>
        <w:spacing w:after="120"/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sectPr w:rsidR="005D4ADC" w:rsidRPr="00E4193A" w:rsidSect="00294A9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663"/>
    <w:multiLevelType w:val="hybridMultilevel"/>
    <w:tmpl w:val="BF5A657E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8B9"/>
    <w:multiLevelType w:val="hybridMultilevel"/>
    <w:tmpl w:val="416ADC60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C3C"/>
    <w:multiLevelType w:val="hybridMultilevel"/>
    <w:tmpl w:val="CE866CF6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47E9"/>
    <w:multiLevelType w:val="hybridMultilevel"/>
    <w:tmpl w:val="ECDA04A6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F6698"/>
    <w:multiLevelType w:val="hybridMultilevel"/>
    <w:tmpl w:val="618EDC12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7403"/>
    <w:multiLevelType w:val="hybridMultilevel"/>
    <w:tmpl w:val="DAA0DD96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E0A9A"/>
    <w:multiLevelType w:val="hybridMultilevel"/>
    <w:tmpl w:val="B5F655EE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4950"/>
    <w:multiLevelType w:val="hybridMultilevel"/>
    <w:tmpl w:val="C97C4F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B0F82"/>
    <w:multiLevelType w:val="hybridMultilevel"/>
    <w:tmpl w:val="F82096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B691B"/>
    <w:multiLevelType w:val="hybridMultilevel"/>
    <w:tmpl w:val="E72C45EE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703D3"/>
    <w:multiLevelType w:val="hybridMultilevel"/>
    <w:tmpl w:val="B4AA6D9C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C397D"/>
    <w:multiLevelType w:val="hybridMultilevel"/>
    <w:tmpl w:val="1408DE66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3839"/>
    <w:multiLevelType w:val="hybridMultilevel"/>
    <w:tmpl w:val="5FFA5B0C"/>
    <w:lvl w:ilvl="0" w:tplc="100CF3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963D5"/>
    <w:multiLevelType w:val="hybridMultilevel"/>
    <w:tmpl w:val="0FA48B12"/>
    <w:lvl w:ilvl="0" w:tplc="83DC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A588C"/>
    <w:multiLevelType w:val="hybridMultilevel"/>
    <w:tmpl w:val="62CEDB52"/>
    <w:lvl w:ilvl="0" w:tplc="8640B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00A57"/>
    <w:multiLevelType w:val="hybridMultilevel"/>
    <w:tmpl w:val="B13A775C"/>
    <w:lvl w:ilvl="0" w:tplc="CA444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E89"/>
    <w:rsid w:val="0000204E"/>
    <w:rsid w:val="00010F29"/>
    <w:rsid w:val="00013CC3"/>
    <w:rsid w:val="00021F41"/>
    <w:rsid w:val="00031954"/>
    <w:rsid w:val="000714C2"/>
    <w:rsid w:val="00092366"/>
    <w:rsid w:val="00105068"/>
    <w:rsid w:val="00112E3E"/>
    <w:rsid w:val="00186CA3"/>
    <w:rsid w:val="001B02B2"/>
    <w:rsid w:val="002239B6"/>
    <w:rsid w:val="002270D0"/>
    <w:rsid w:val="00234AAA"/>
    <w:rsid w:val="00247F88"/>
    <w:rsid w:val="00294A99"/>
    <w:rsid w:val="00300637"/>
    <w:rsid w:val="00331508"/>
    <w:rsid w:val="00345853"/>
    <w:rsid w:val="003A646D"/>
    <w:rsid w:val="003C7498"/>
    <w:rsid w:val="00427765"/>
    <w:rsid w:val="0046797B"/>
    <w:rsid w:val="004B4044"/>
    <w:rsid w:val="004E02DE"/>
    <w:rsid w:val="0052054E"/>
    <w:rsid w:val="005335D1"/>
    <w:rsid w:val="00564E89"/>
    <w:rsid w:val="00594ECA"/>
    <w:rsid w:val="005A11EE"/>
    <w:rsid w:val="005D4ADC"/>
    <w:rsid w:val="005F30F8"/>
    <w:rsid w:val="00674E24"/>
    <w:rsid w:val="006C5C18"/>
    <w:rsid w:val="006E6F40"/>
    <w:rsid w:val="00740F71"/>
    <w:rsid w:val="00783E60"/>
    <w:rsid w:val="007A7ADA"/>
    <w:rsid w:val="007B6F39"/>
    <w:rsid w:val="007D2846"/>
    <w:rsid w:val="007D4FB7"/>
    <w:rsid w:val="007F2AC0"/>
    <w:rsid w:val="007F447B"/>
    <w:rsid w:val="008165DA"/>
    <w:rsid w:val="008474BA"/>
    <w:rsid w:val="00856398"/>
    <w:rsid w:val="00862A77"/>
    <w:rsid w:val="008943B5"/>
    <w:rsid w:val="008D3296"/>
    <w:rsid w:val="008F3C29"/>
    <w:rsid w:val="009034DA"/>
    <w:rsid w:val="009044C6"/>
    <w:rsid w:val="00994A85"/>
    <w:rsid w:val="009D5ED8"/>
    <w:rsid w:val="00A56908"/>
    <w:rsid w:val="00A64B25"/>
    <w:rsid w:val="00AB1F4F"/>
    <w:rsid w:val="00AE6497"/>
    <w:rsid w:val="00AF65C2"/>
    <w:rsid w:val="00B22DC7"/>
    <w:rsid w:val="00B632D4"/>
    <w:rsid w:val="00BA4E56"/>
    <w:rsid w:val="00BA597C"/>
    <w:rsid w:val="00BC6821"/>
    <w:rsid w:val="00BD236B"/>
    <w:rsid w:val="00BD2AA5"/>
    <w:rsid w:val="00BF5A16"/>
    <w:rsid w:val="00C26C18"/>
    <w:rsid w:val="00C6153E"/>
    <w:rsid w:val="00CD480E"/>
    <w:rsid w:val="00D56590"/>
    <w:rsid w:val="00D64E80"/>
    <w:rsid w:val="00DA1996"/>
    <w:rsid w:val="00DF7F16"/>
    <w:rsid w:val="00E4193A"/>
    <w:rsid w:val="00E543A1"/>
    <w:rsid w:val="00E64BC0"/>
    <w:rsid w:val="00E67B50"/>
    <w:rsid w:val="00E824E0"/>
    <w:rsid w:val="00EF798F"/>
    <w:rsid w:val="00F04290"/>
    <w:rsid w:val="00F92693"/>
    <w:rsid w:val="00FA6BEE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DE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E8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94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4E89"/>
    <w:rPr>
      <w:b/>
      <w:bCs/>
    </w:rPr>
  </w:style>
  <w:style w:type="table" w:styleId="Tablaconcuadrcula">
    <w:name w:val="Table Grid"/>
    <w:basedOn w:val="Tablanormal"/>
    <w:uiPriority w:val="59"/>
    <w:rsid w:val="005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05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9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296"/>
    <w:rPr>
      <w:rFonts w:ascii="Tahom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94A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A7A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7A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7ADA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A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ADA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6F4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6F40"/>
    <w:rPr>
      <w:rFonts w:ascii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6E6F4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rsid w:val="0085639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/>
    </w:rPr>
  </w:style>
  <w:style w:type="paragraph" w:customStyle="1" w:styleId="Sinespaciado1">
    <w:name w:val="Sin espaciado1"/>
    <w:uiPriority w:val="1"/>
    <w:qFormat/>
    <w:rsid w:val="00994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1058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GChapela</dc:creator>
  <cp:lastModifiedBy>Gerardo Suarez</cp:lastModifiedBy>
  <cp:revision>6</cp:revision>
  <cp:lastPrinted>2017-04-22T15:48:00Z</cp:lastPrinted>
  <dcterms:created xsi:type="dcterms:W3CDTF">2017-05-16T23:22:00Z</dcterms:created>
  <dcterms:modified xsi:type="dcterms:W3CDTF">2017-05-31T22:01:00Z</dcterms:modified>
</cp:coreProperties>
</file>